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38.03.03 Управление персоналом (высшее образование - бакалавриат), Направленность (профиль) программы «Деятельность по обеспечению персоналом», утв. приказом ректора ОмГА от 28.03.2022 №28.</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(У)"</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Антикоррупционная культура</w:t>
            </w:r>
          </w:p>
          <w:p>
            <w:pPr>
              <w:jc w:val="center"/>
              <w:spacing w:after="0" w:line="240" w:lineRule="auto"/>
              <w:rPr>
                <w:sz w:val="32"/>
                <w:szCs w:val="32"/>
              </w:rPr>
            </w:pPr>
            <w:r>
              <w:rPr>
                <w:rFonts w:ascii="Times New Roman" w:hAnsi="Times New Roman" w:cs="Times New Roman"/>
                <w:color w:val="#000000"/>
                <w:sz w:val="32"/>
                <w:szCs w:val="32"/>
              </w:rPr>
              <w:t> Б1.О.01.05</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38.03.03 Управление персоналом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«Деятельность по обеспечению персоналом»</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07.АДМИНИСТРАТИВНО-УПРАВЛЕНЧЕСКАЯ И ОФИСНАЯ ДЕЯТЕЛЬНОСТЬ.</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АДМИНИСТРАТИВНО-УПРАВЛЕНЧЕСКАЯ И ОФИСНАЯ ДЕЯТЕЛЬНОСТЬ</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ПЕРСОНАЛОМ</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33.012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ПОДБОРУ ПЕРСОНАЛА (РЕКРУТЕР)</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научно- исследовательский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67.63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2022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2022-2023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/Кузнецова Е.К./</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(У)»</w:t>
            </w:r>
          </w:p>
          <w:p>
            <w:pPr>
              <w:jc w:val="left"/>
              <w:spacing w:after="0" w:line="240" w:lineRule="auto"/>
              <w:rPr>
                <w:sz w:val="24"/>
                <w:szCs w:val="24"/>
              </w:rPr>
            </w:pPr>
            <w:r>
              <w:rPr>
                <w:rFonts w:ascii="Times New Roman" w:hAnsi="Times New Roman" w:cs="Times New Roman"/>
                <w:color w:val="#000000"/>
                <w:sz w:val="24"/>
                <w:szCs w:val="24"/>
              </w:rPr>
              <w:t> Протокол от 25.03.2022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38.03.03 Управление персоналом направленность (профиль) программы: «Деятельность по обеспечению персоналом»; форма обучения – заочная на 2022/2023 учебный год, утвержденным приказом ректора от 28.03.2022 №28;</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«Антикоррупционная культура»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38.03.03 Управление персоналом; заочная форма обучения в соответствии с требованиями законодательства Российской Федерации в сфере образования, Уставом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Б1.О.01.05 «Антикоррупционная культура».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«Антикоррупционная культура»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УК-11</w:t>
            </w:r>
          </w:p>
          <w:p>
            <w:pPr>
              <w:jc w:val="left"/>
              <w:spacing w:after="0" w:line="240" w:lineRule="auto"/>
              <w:rPr>
                <w:sz w:val="24"/>
                <w:szCs w:val="24"/>
              </w:rPr>
            </w:pPr>
            <w:r>
              <w:rPr>
                <w:rFonts w:ascii="Times New Roman" w:hAnsi="Times New Roman" w:cs="Times New Roman"/>
                <w:b/>
                <w:color w:val="#000000"/>
                <w:sz w:val="24"/>
                <w:szCs w:val="24"/>
              </w:rPr>
              <w:t> Способен формировать нетерпимое отношение к коррупционному поведению</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УК-11.1 знать действующие правовые нормы, обеспечивающие борьбу с коррупцией в различных областях жизнедеятельности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УК-11.2 знать способы профилактики коррупции и формирования нетерпимого отношения к ней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УК-11.3 уметь анализировать, толковать и правильно применять правовые нормы о противодействии коррупционному поведению</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УК-11.4 уметь планировать, организовывать и проводить мероприятия, обеспечивающие формирование гражданской позиции и предотвращение коррупции в социуме</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УК-11.5 владеть навыками работы с законодательными и другими нормативными правовыми актами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УК-11.6 владеть навыками взаимодействия в обществе на основе нетерпимого отношения к коррупции</w:t>
            </w:r>
          </w:p>
        </w:tc>
      </w:tr>
      <w:tr>
        <w:trPr>
          <w:trHeight w:hRule="exact" w:val="277.8304"/>
        </w:trPr>
        <w:tc>
          <w:tcPr>
            <w:tcW w:w="9640" w:type="dxa"/>
          </w:tcP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УК-2</w:t>
            </w:r>
          </w:p>
          <w:p>
            <w:pPr>
              <w:jc w:val="left"/>
              <w:spacing w:after="0" w:line="240" w:lineRule="auto"/>
              <w:rPr>
                <w:sz w:val="24"/>
                <w:szCs w:val="24"/>
              </w:rPr>
            </w:pPr>
            <w:r>
              <w:rPr>
                <w:rFonts w:ascii="Times New Roman" w:hAnsi="Times New Roman" w:cs="Times New Roman"/>
                <w:b/>
                <w:color w:val="#000000"/>
                <w:sz w:val="24"/>
                <w:szCs w:val="24"/>
              </w:rPr>
              <w:t>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1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УК-2.1 знать принципы и методы декомпозиции задач; действующие правовые нормы</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УК-2.2 знать принципы и методы анализа имеющихся ресурсов и ограничений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УК-2.3 уметь определять круг задач в рамках поставленной цели, исходя из действующих нормативно-правовых актов, имеющихся ресурсов и ограничений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УК-2.4 уметь выбирать оптимальные способы решения задач, исходя из действующих нормативно-правовых норм, имеющихся ресурсов и ограничений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УК-2.5 владеть практическими навыками определения круга задач в рамках поставленной цели, исходя из действующих правовых норм, имеющихся ресурсов и ограничений</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УК-2.6 владеть практическими навыками выбора оптимальных способов  решения задач, исходя из действующих правовых норм, имеющихся ресурсов и ограничений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Б1.О.01.05 «Антикоррупционная культура» относится к обязательной части, является дисциплиной Блока Б1. «Дисциплины (модули)». Модуль "Мировоззренческий" основной профессиональной образовательной программы высшего образования - бакалавриат по направлению подготовки 38.03.03 Управление персоналом.</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3789.807"/>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Правоведение</w:t>
            </w:r>
          </w:p>
          <w:p>
            <w:pPr>
              <w:jc w:val="center"/>
              <w:spacing w:after="0" w:line="240" w:lineRule="auto"/>
              <w:rPr>
                <w:sz w:val="22"/>
                <w:szCs w:val="22"/>
              </w:rPr>
            </w:pPr>
            <w:r>
              <w:rPr>
                <w:rFonts w:ascii="Times New Roman" w:hAnsi="Times New Roman" w:cs="Times New Roman"/>
                <w:color w:val="#000000"/>
                <w:sz w:val="22"/>
                <w:szCs w:val="22"/>
              </w:rPr>
              <w:t> Учебная практика (профессионально- ознакомительная практика)</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Книгоиздательское дело</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(профессионально -творческая практика)</w:t>
            </w:r>
          </w:p>
          <w:p>
            <w:pPr>
              <w:jc w:val="center"/>
              <w:spacing w:after="0" w:line="240" w:lineRule="auto"/>
              <w:rPr>
                <w:sz w:val="22"/>
                <w:szCs w:val="22"/>
              </w:rPr>
            </w:pPr>
            <w:r>
              <w:rPr>
                <w:rFonts w:ascii="Times New Roman" w:hAnsi="Times New Roman" w:cs="Times New Roman"/>
                <w:color w:val="#000000"/>
                <w:sz w:val="22"/>
                <w:szCs w:val="22"/>
              </w:rPr>
              <w:t> Стратегии противодействия международному терроризму</w:t>
            </w:r>
          </w:p>
          <w:p>
            <w:pPr>
              <w:jc w:val="center"/>
              <w:spacing w:after="0" w:line="240" w:lineRule="auto"/>
              <w:rPr>
                <w:sz w:val="22"/>
                <w:szCs w:val="22"/>
              </w:rPr>
            </w:pPr>
            <w:r>
              <w:rPr>
                <w:rFonts w:ascii="Times New Roman" w:hAnsi="Times New Roman" w:cs="Times New Roman"/>
                <w:color w:val="#000000"/>
                <w:sz w:val="22"/>
                <w:szCs w:val="22"/>
              </w:rPr>
              <w:t> Творческие мастерские</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(профессионально -творческая практика)</w:t>
            </w:r>
          </w:p>
          <w:p>
            <w:pPr>
              <w:jc w:val="center"/>
              <w:spacing w:after="0" w:line="240" w:lineRule="auto"/>
              <w:rPr>
                <w:sz w:val="22"/>
                <w:szCs w:val="22"/>
              </w:rPr>
            </w:pPr>
            <w:r>
              <w:rPr>
                <w:rFonts w:ascii="Times New Roman" w:hAnsi="Times New Roman" w:cs="Times New Roman"/>
                <w:color w:val="#000000"/>
                <w:sz w:val="22"/>
                <w:szCs w:val="22"/>
              </w:rPr>
              <w:t> Роль средств массовой информации в освещении конфликта</w:t>
            </w:r>
          </w:p>
          <w:p>
            <w:pPr>
              <w:jc w:val="center"/>
              <w:spacing w:after="0" w:line="240" w:lineRule="auto"/>
              <w:rPr>
                <w:sz w:val="22"/>
                <w:szCs w:val="22"/>
              </w:rPr>
            </w:pPr>
            <w:r>
              <w:rPr>
                <w:rFonts w:ascii="Times New Roman" w:hAnsi="Times New Roman" w:cs="Times New Roman"/>
                <w:color w:val="#000000"/>
                <w:sz w:val="22"/>
                <w:szCs w:val="22"/>
              </w:rPr>
              <w:t> Современное телевидение</w:t>
            </w:r>
          </w:p>
          <w:p>
            <w:pPr>
              <w:jc w:val="center"/>
              <w:spacing w:after="0" w:line="240" w:lineRule="auto"/>
              <w:rPr>
                <w:sz w:val="22"/>
                <w:szCs w:val="22"/>
              </w:rPr>
            </w:pPr>
            <w:r>
              <w:rPr>
                <w:rFonts w:ascii="Times New Roman" w:hAnsi="Times New Roman" w:cs="Times New Roman"/>
                <w:color w:val="#000000"/>
                <w:sz w:val="22"/>
                <w:szCs w:val="22"/>
              </w:rPr>
              <w:t> Подготовка к процедуре защиты и защита выпускной квалификационной работы</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(преддипломная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УК-11, УК-2</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2"/>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7"/>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3"/>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12"/>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94</w:t>
            </w:r>
          </w:p>
        </w:tc>
      </w:tr>
      <w:tr>
        <w:trPr>
          <w:trHeight w:hRule="exact" w:val="277.8286"/>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1</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Сущность, природа  и последствия коррупции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Правовое регулирование противодействия коррупции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и природа коррупции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Методические указания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и природа коррупции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Институциональные основы противодействия коррупции в РФ</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Институциональные основы противодействия коррупции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Политика государства в сфере взаимодействия институтов гражданского общества и органов законодательной власти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Методические указания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26</w:t>
            </w:r>
          </w:p>
        </w:tc>
      </w:tr>
      <w:tr>
        <w:trPr>
          <w:trHeight w:hRule="exact" w:val="855.54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Политика государства в сфере взаимодействия институтов гражданского общества и органов законодательной власти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r>
        <w:trPr>
          <w:trHeight w:hRule="exact" w:val="585.059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Антикоррупционная экспертиза нормативных правовых актов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Антикоррупционная экспертиза нормативных правовых актов и их проектов в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Антикоррупционная экспертиза нормативных правовых актов и их проектов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Методические указания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Антикоррупционная экспертиза нормативных правовых актов и их проектов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7479.946"/>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480.765"/>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Правовое регулирование противодействия коррупции</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признаки коррупции. Сферы проявления и основные факторы коррупции. Международные стандарты противодействия коррупции. Основные способы борьбы с ней.</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Институциональные основы противодействия коррупции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нормативные правовые акты в сфере противодействии коррупции. Система правовых средств противодеиствия коррупции. Национальная стратегия противодействия коррупции и Национальный план противодействия коррупции. Органы государственной власти, участвующие в разработке и реализации направлений государственной политики в сфере противодействия коррупции. Структура антикоррупционных программ органов власти.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Антикоррупционная экспертиза нормативных правовых актов и их проектов в РФ</w:t>
            </w:r>
          </w:p>
        </w:tc>
      </w:tr>
      <w:tr>
        <w:trPr>
          <w:trHeight w:hRule="exact" w:val="1637.43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Противодействие коррупции в системе управления народным хозяйством. Правовое антикоррупционное регулирование нормотворческой деятельности на федеральном, региональном и местном уровнях.  Исследование результатов применения мер по предупреждению, пресечению коррупции и мер ответственности за совершение коррупционных правонарушений. Проблемы совершенствования российского законодательства о противодействии коррупции.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Сущность и природа коррупции</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признаки коррупции. Сферы проявления и основные факторы коррупции. Исторические и социальные корни коррупции. Коррупция в современной России.</w:t>
            </w:r>
          </w:p>
        </w:tc>
      </w:tr>
      <w:tr>
        <w:trPr>
          <w:trHeight w:hRule="exact" w:val="14.7"/>
        </w:trPr>
        <w:tc>
          <w:tcPr>
            <w:tcW w:w="9640" w:type="dxa"/>
          </w:tcPr>
          <w:p/>
        </w:tc>
      </w:tr>
      <w:tr>
        <w:trPr>
          <w:trHeight w:hRule="exact" w:val="585.05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Политика государства в сфере взаимодействия институтов гражданского общества и органов законодательной власти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Роль ведомственных рабочих групп, совещательных и экспертных комиссий в противодействии коррупции. Институты гражданского общества как субъекты общественного контроля. Политика государства в сфере взаимодействия институтов гражданского общества и органов власти.</w:t>
            </w:r>
          </w:p>
        </w:tc>
      </w:tr>
      <w:tr>
        <w:trPr>
          <w:trHeight w:hRule="exact" w:val="14.70022"/>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Антикоррупционная экспертиза нормативных правовых актов и их проектов</w:t>
            </w:r>
          </w:p>
        </w:tc>
      </w:tr>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Правовое антикоррупционное регулирование нормотворческой деятельности на федеральном, региональном и местном уровнях.</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5"/>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Сущность и природа коррупции</w:t>
            </w:r>
          </w:p>
        </w:tc>
      </w:tr>
      <w:tr>
        <w:trPr>
          <w:trHeight w:hRule="exact" w:val="21.3151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и признаки коррупции. Сферы проявления и основные факторы коррупции. Исторические и социальные корни коррупции. Коррупция в современной России.</w:t>
            </w:r>
          </w:p>
        </w:tc>
      </w:tr>
      <w:tr>
        <w:trPr>
          <w:trHeight w:hRule="exact" w:val="8.085269"/>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Политика государства в сфере взаимодействия институтов гражданского общества и органов законодательной власти</w:t>
            </w:r>
          </w:p>
        </w:tc>
      </w:tr>
      <w:tr>
        <w:trPr>
          <w:trHeight w:hRule="exact" w:val="21.31518"/>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Роль ведомственных рабочих групп, совещательных и экспертных комиссий в противодействии коррупции. Институты гражданского общества как субъекты общественного контроля. Политика государства в сфере взаимодействия институтов гражданского общества и органов власти.</w:t>
            </w:r>
          </w:p>
        </w:tc>
      </w:tr>
      <w:tr>
        <w:trPr>
          <w:trHeight w:hRule="exact" w:val="8.085269"/>
        </w:trPr>
        <w:tc>
          <w:tcPr>
            <w:tcW w:w="9640" w:type="dxa"/>
          </w:tcPr>
          <w:p/>
        </w:tc>
      </w:tr>
      <w:tr>
        <w:trPr>
          <w:trHeight w:hRule="exact" w:val="585.06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Антикоррупционная экспертиза нормативных правовых актов и их проектов</w:t>
            </w:r>
          </w:p>
        </w:tc>
      </w:tr>
      <w:tr>
        <w:trPr>
          <w:trHeight w:hRule="exact" w:val="21.3151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Исследование результатов применения мер по предупреждению, пресечению коррупции и мер ответственности за совершение коррупционных правонарушений.</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«Антикоррупционная культура» / Кузнецова Е.К.. – Омск: Изд-во Омской гуманитарной академии, 2022.</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Противодействие</w:t>
            </w:r>
            <w:r>
              <w:rPr/>
              <w:t xml:space="preserve"> </w:t>
            </w:r>
            <w:r>
              <w:rPr>
                <w:rFonts w:ascii="Times New Roman" w:hAnsi="Times New Roman" w:cs="Times New Roman"/>
                <w:color w:val="#000000"/>
                <w:sz w:val="24"/>
                <w:szCs w:val="24"/>
              </w:rPr>
              <w:t>коррупции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Осипов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Тула:</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законоведения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ВПА,</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130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http://www.iprbookshop.ru/85911.html</w:t>
            </w:r>
            <w:r>
              <w:rPr/>
              <w:t xml:space="preserve"> </w:t>
            </w:r>
          </w:p>
        </w:tc>
      </w:tr>
      <w:tr>
        <w:trPr>
          <w:trHeight w:hRule="exact" w:val="2719.20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Научно-практический</w:t>
            </w:r>
            <w:r>
              <w:rPr/>
              <w:t xml:space="preserve"> </w:t>
            </w:r>
            <w:r>
              <w:rPr>
                <w:rFonts w:ascii="Times New Roman" w:hAnsi="Times New Roman" w:cs="Times New Roman"/>
                <w:color w:val="#000000"/>
                <w:sz w:val="24"/>
                <w:szCs w:val="24"/>
              </w:rPr>
              <w:t>комментарий</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Федеральному</w:t>
            </w:r>
            <w:r>
              <w:rPr/>
              <w:t xml:space="preserve"> </w:t>
            </w:r>
            <w:r>
              <w:rPr>
                <w:rFonts w:ascii="Times New Roman" w:hAnsi="Times New Roman" w:cs="Times New Roman"/>
                <w:color w:val="#000000"/>
                <w:sz w:val="24"/>
                <w:szCs w:val="24"/>
              </w:rPr>
              <w:t>закону</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25</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2008</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273-ФЗ</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противодействии</w:t>
            </w:r>
            <w:r>
              <w:rPr/>
              <w:t xml:space="preserve"> </w:t>
            </w:r>
            <w:r>
              <w:rPr>
                <w:rFonts w:ascii="Times New Roman" w:hAnsi="Times New Roman" w:cs="Times New Roman"/>
                <w:color w:val="#000000"/>
                <w:sz w:val="24"/>
                <w:szCs w:val="24"/>
              </w:rPr>
              <w:t>коррупции»</w:t>
            </w:r>
            <w:r>
              <w:rPr/>
              <w:t xml:space="preserve"> </w:t>
            </w:r>
            <w:r>
              <w:rPr>
                <w:rFonts w:ascii="Times New Roman" w:hAnsi="Times New Roman" w:cs="Times New Roman"/>
                <w:color w:val="#000000"/>
                <w:sz w:val="24"/>
                <w:szCs w:val="24"/>
              </w:rPr>
              <w:t>(постатейный)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Хабриева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Габов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Цирин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Ноздрачев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Абузярова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Кошаева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Кузнецов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Ломакина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Матулис</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Молчанова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Никитина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Семилютина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Севальнев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Трунцевский</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Черепанова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Хабриевой</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Научно-практический</w:t>
            </w:r>
            <w:r>
              <w:rPr/>
              <w:t xml:space="preserve"> </w:t>
            </w:r>
            <w:r>
              <w:rPr>
                <w:rFonts w:ascii="Times New Roman" w:hAnsi="Times New Roman" w:cs="Times New Roman"/>
                <w:color w:val="#000000"/>
                <w:sz w:val="24"/>
                <w:szCs w:val="24"/>
              </w:rPr>
              <w:t>комментарий</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Федеральному</w:t>
            </w:r>
            <w:r>
              <w:rPr/>
              <w:t xml:space="preserve"> </w:t>
            </w:r>
            <w:r>
              <w:rPr>
                <w:rFonts w:ascii="Times New Roman" w:hAnsi="Times New Roman" w:cs="Times New Roman"/>
                <w:color w:val="#000000"/>
                <w:sz w:val="24"/>
                <w:szCs w:val="24"/>
              </w:rPr>
              <w:t>закону</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25</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2008</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273-ФЗ</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противодействии</w:t>
            </w:r>
            <w:r>
              <w:rPr/>
              <w:t xml:space="preserve"> </w:t>
            </w:r>
            <w:r>
              <w:rPr>
                <w:rFonts w:ascii="Times New Roman" w:hAnsi="Times New Roman" w:cs="Times New Roman"/>
                <w:color w:val="#000000"/>
                <w:sz w:val="24"/>
                <w:szCs w:val="24"/>
              </w:rPr>
              <w:t>коррупции»</w:t>
            </w:r>
            <w:r>
              <w:rPr/>
              <w:t xml:space="preserve"> </w:t>
            </w:r>
            <w:r>
              <w:rPr>
                <w:rFonts w:ascii="Times New Roman" w:hAnsi="Times New Roman" w:cs="Times New Roman"/>
                <w:color w:val="#000000"/>
                <w:sz w:val="24"/>
                <w:szCs w:val="24"/>
              </w:rPr>
              <w:t>(постатейный)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законодательства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сравнительного</w:t>
            </w:r>
            <w:r>
              <w:rPr/>
              <w:t xml:space="preserve"> </w:t>
            </w:r>
            <w:r>
              <w:rPr>
                <w:rFonts w:ascii="Times New Roman" w:hAnsi="Times New Roman" w:cs="Times New Roman"/>
                <w:color w:val="#000000"/>
                <w:sz w:val="24"/>
                <w:szCs w:val="24"/>
              </w:rPr>
              <w:t>правоведения</w:t>
            </w:r>
            <w:r>
              <w:rPr/>
              <w:t xml:space="preserve"> </w:t>
            </w:r>
            <w:r>
              <w:rPr>
                <w:rFonts w:ascii="Times New Roman" w:hAnsi="Times New Roman" w:cs="Times New Roman"/>
                <w:color w:val="#000000"/>
                <w:sz w:val="24"/>
                <w:szCs w:val="24"/>
              </w:rPr>
              <w:t>при</w:t>
            </w:r>
            <w:r>
              <w:rPr/>
              <w:t xml:space="preserve"> </w:t>
            </w:r>
            <w:r>
              <w:rPr>
                <w:rFonts w:ascii="Times New Roman" w:hAnsi="Times New Roman" w:cs="Times New Roman"/>
                <w:color w:val="#000000"/>
                <w:sz w:val="24"/>
                <w:szCs w:val="24"/>
              </w:rPr>
              <w:t>Правительстве</w:t>
            </w:r>
            <w:r>
              <w:rPr/>
              <w:t xml:space="preserve"> </w:t>
            </w:r>
            <w:r>
              <w:rPr>
                <w:rFonts w:ascii="Times New Roman" w:hAnsi="Times New Roman" w:cs="Times New Roman"/>
                <w:color w:val="#000000"/>
                <w:sz w:val="24"/>
                <w:szCs w:val="24"/>
              </w:rPr>
              <w:t>Российской</w:t>
            </w:r>
            <w:r>
              <w:rPr/>
              <w:t xml:space="preserve"> </w:t>
            </w:r>
            <w:r>
              <w:rPr>
                <w:rFonts w:ascii="Times New Roman" w:hAnsi="Times New Roman" w:cs="Times New Roman"/>
                <w:color w:val="#000000"/>
                <w:sz w:val="24"/>
                <w:szCs w:val="24"/>
              </w:rPr>
              <w:t>Федерации,</w:t>
            </w:r>
            <w:r>
              <w:rPr/>
              <w:t xml:space="preserve"> </w:t>
            </w:r>
            <w:r>
              <w:rPr>
                <w:rFonts w:ascii="Times New Roman" w:hAnsi="Times New Roman" w:cs="Times New Roman"/>
                <w:color w:val="#000000"/>
                <w:sz w:val="24"/>
                <w:szCs w:val="24"/>
              </w:rPr>
              <w:t>Юриспруденция,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424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978-5-9516-0815-4.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http://www.iprbookshop.ru/86535.html</w:t>
            </w:r>
            <w:r>
              <w:rPr/>
              <w:t xml:space="preserve"> </w:t>
            </w:r>
          </w:p>
        </w:tc>
      </w:tr>
      <w:tr>
        <w:trPr>
          <w:trHeight w:hRule="exact" w:val="277.8299"/>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Правовые</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антикоррупционной</w:t>
            </w:r>
            <w:r>
              <w:rPr/>
              <w:t xml:space="preserve"> </w:t>
            </w:r>
            <w:r>
              <w:rPr>
                <w:rFonts w:ascii="Times New Roman" w:hAnsi="Times New Roman" w:cs="Times New Roman"/>
                <w:color w:val="#000000"/>
                <w:sz w:val="24"/>
                <w:szCs w:val="24"/>
              </w:rPr>
              <w:t>политики</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современность</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Шишкарёв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Правовые</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антикоррупционной</w:t>
            </w:r>
            <w:r>
              <w:rPr/>
              <w:t xml:space="preserve"> </w:t>
            </w:r>
            <w:r>
              <w:rPr>
                <w:rFonts w:ascii="Times New Roman" w:hAnsi="Times New Roman" w:cs="Times New Roman"/>
                <w:color w:val="#000000"/>
                <w:sz w:val="24"/>
                <w:szCs w:val="24"/>
              </w:rPr>
              <w:t>политики</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современность</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ЮНИТИ-ДАНА,</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62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978-5-238-01232-2.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http://www.iprbookshop.ru/81827.html</w:t>
            </w:r>
            <w:r>
              <w:rPr/>
              <w:t xml:space="preserve"> </w:t>
            </w:r>
          </w:p>
        </w:tc>
      </w:tr>
      <w:tr>
        <w:trPr>
          <w:trHeight w:hRule="exact" w:val="1069.719"/>
        </w:trPr>
        <w:tc>
          <w:tcPr>
            <w:tcW w:w="9654" w:type="dxa"/>
            <w:gridSpan w:val="2"/>
            <w:tcBorders>
</w:tcBorders>
            <w:vMerge/>
            <w:shd w:val="clear" w:color="#000000" w:fill="#FFFFFF"/>
            <w:vAlign w:val="top"/>
            <w:tcMar>
              <w:left w:w="34" w:type="dxa"/>
              <w:right w:w="34" w:type="dxa"/>
            </w:tcMar>
          </w:tcPr>
          <w:p/>
        </w:tc>
      </w:tr>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Антикоррупционная</w:t>
            </w:r>
            <w:r>
              <w:rPr/>
              <w:t xml:space="preserve"> </w:t>
            </w:r>
            <w:r>
              <w:rPr>
                <w:rFonts w:ascii="Times New Roman" w:hAnsi="Times New Roman" w:cs="Times New Roman"/>
                <w:color w:val="#000000"/>
                <w:sz w:val="24"/>
                <w:szCs w:val="24"/>
              </w:rPr>
              <w:t>политика</w:t>
            </w:r>
            <w:r>
              <w:rPr/>
              <w:t xml:space="preserve"> </w:t>
            </w:r>
            <w:r>
              <w:rPr>
                <w:rFonts w:ascii="Times New Roman" w:hAnsi="Times New Roman" w:cs="Times New Roman"/>
                <w:color w:val="#000000"/>
                <w:sz w:val="24"/>
                <w:szCs w:val="24"/>
              </w:rPr>
              <w:t>субъектов</w:t>
            </w:r>
            <w:r>
              <w:rPr/>
              <w:t xml:space="preserve"> </w:t>
            </w:r>
            <w:r>
              <w:rPr>
                <w:rFonts w:ascii="Times New Roman" w:hAnsi="Times New Roman" w:cs="Times New Roman"/>
                <w:color w:val="#000000"/>
                <w:sz w:val="24"/>
                <w:szCs w:val="24"/>
              </w:rPr>
              <w:t>Российской</w:t>
            </w:r>
            <w:r>
              <w:rPr/>
              <w:t xml:space="preserve"> </w:t>
            </w:r>
            <w:r>
              <w:rPr>
                <w:rFonts w:ascii="Times New Roman" w:hAnsi="Times New Roman" w:cs="Times New Roman"/>
                <w:color w:val="#000000"/>
                <w:sz w:val="24"/>
                <w:szCs w:val="24"/>
              </w:rPr>
              <w:t>Федерации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Басос</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Илюшина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Ишеков</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Казачкова</w:t>
            </w:r>
            <w:r>
              <w:rPr/>
              <w:t xml:space="preserve"> </w:t>
            </w:r>
            <w:r>
              <w:rPr>
                <w:rFonts w:ascii="Times New Roman" w:hAnsi="Times New Roman" w:cs="Times New Roman"/>
                <w:color w:val="#000000"/>
                <w:sz w:val="24"/>
                <w:szCs w:val="24"/>
              </w:rPr>
              <w:t>З.</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Кирилин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Козлова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Красиков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Малеванова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Фоменко</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Всероссийский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юстиции</w:t>
            </w:r>
            <w:r>
              <w:rPr/>
              <w:t xml:space="preserve"> </w:t>
            </w:r>
            <w:r>
              <w:rPr>
                <w:rFonts w:ascii="Times New Roman" w:hAnsi="Times New Roman" w:cs="Times New Roman"/>
                <w:color w:val="#000000"/>
                <w:sz w:val="24"/>
                <w:szCs w:val="24"/>
              </w:rPr>
              <w:t>(РПА</w:t>
            </w:r>
            <w:r>
              <w:rPr/>
              <w:t xml:space="preserve"> </w:t>
            </w:r>
            <w:r>
              <w:rPr>
                <w:rFonts w:ascii="Times New Roman" w:hAnsi="Times New Roman" w:cs="Times New Roman"/>
                <w:color w:val="#000000"/>
                <w:sz w:val="24"/>
                <w:szCs w:val="24"/>
              </w:rPr>
              <w:t>Минюста</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Эр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978-5-00094-613-8.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http://www.iprbookshop.ru/86914.html</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8520.11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3710.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5.105"/>
        </w:trPr>
        <w:tc>
          <w:tcPr>
            <w:tcW w:w="9654" w:type="dxa"/>
            <w:tcBorders>
</w:tcBorders>
            <w:shd w:val="clear" w:color="#000000" w:fill="#FFFFFF"/>
            <w:vAlign w:val="top"/>
            <w:tcMar>
              <w:left w:w="34" w:type="dxa"/>
              <w:right w:w="34" w:type="dxa"/>
            </w:tcMar>
          </w:tcPr>
          <w:p/>
        </w:tc>
      </w:tr>
      <w:tr>
        <w:trPr>
          <w:trHeight w:hRule="exact" w:val="855.5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143.66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2022-2023_ФГОС3++2022_Бак-ЗФО-УП(ДОП)(22)_plx_Антикоррупционная культура</dc:title>
  <dc:creator>FastReport.NET</dc:creator>
</cp:coreProperties>
</file>